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Review of the Children of Henry VII</w:t>
      </w: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 Affiliation</w:t>
      </w:r>
    </w:p>
    <w:p w:rsidR="00CF37D2" w:rsidRPr="00CF37D2" w:rsidRDefault="00CF37D2" w:rsidP="00CF37D2">
      <w:pPr>
        <w:spacing w:after="0" w:line="480" w:lineRule="auto"/>
        <w:jc w:val="center"/>
        <w:rPr>
          <w:rFonts w:ascii="Times New Roman" w:hAnsi="Times New Roman" w:cs="Times New Roman"/>
          <w:sz w:val="24"/>
          <w:szCs w:val="24"/>
        </w:rPr>
      </w:pPr>
      <w:r>
        <w:rPr>
          <w:rFonts w:ascii="Times New Roman" w:hAnsi="Times New Roman" w:cs="Times New Roman"/>
          <w:color w:val="1B1B1B"/>
          <w:sz w:val="24"/>
          <w:szCs w:val="24"/>
          <w:shd w:val="clear" w:color="auto" w:fill="FFFFFF"/>
        </w:rPr>
        <w:t>Date</w:t>
      </w:r>
    </w:p>
    <w:p w:rsidR="00CF37D2" w:rsidRDefault="00CF37D2" w:rsidP="00CF37D2">
      <w:pPr>
        <w:spacing w:after="0" w:line="480" w:lineRule="auto"/>
        <w:ind w:firstLine="720"/>
        <w:jc w:val="both"/>
        <w:rPr>
          <w:rFonts w:ascii="Times New Roman" w:hAnsi="Times New Roman" w:cs="Times New Roman"/>
          <w:sz w:val="24"/>
          <w:szCs w:val="24"/>
        </w:rPr>
      </w:pPr>
    </w:p>
    <w:p w:rsidR="00CF37D2" w:rsidRDefault="00CF37D2" w:rsidP="00CF37D2">
      <w:pPr>
        <w:spacing w:after="0" w:line="480" w:lineRule="auto"/>
        <w:ind w:firstLine="720"/>
        <w:jc w:val="both"/>
        <w:rPr>
          <w:rFonts w:ascii="Times New Roman" w:hAnsi="Times New Roman" w:cs="Times New Roman"/>
          <w:sz w:val="24"/>
          <w:szCs w:val="24"/>
        </w:rPr>
      </w:pPr>
    </w:p>
    <w:p w:rsidR="00CF37D2" w:rsidRDefault="00CF37D2" w:rsidP="00CF37D2">
      <w:pPr>
        <w:spacing w:after="0" w:line="480" w:lineRule="auto"/>
        <w:ind w:firstLine="720"/>
        <w:jc w:val="both"/>
        <w:rPr>
          <w:rFonts w:ascii="Times New Roman" w:hAnsi="Times New Roman" w:cs="Times New Roman"/>
          <w:sz w:val="24"/>
          <w:szCs w:val="24"/>
        </w:rPr>
      </w:pPr>
    </w:p>
    <w:p w:rsidR="00CF37D2" w:rsidRDefault="00CF37D2" w:rsidP="00DE3BF0">
      <w:pPr>
        <w:spacing w:after="0" w:line="480" w:lineRule="auto"/>
        <w:jc w:val="both"/>
        <w:rPr>
          <w:rFonts w:ascii="Times New Roman" w:hAnsi="Times New Roman" w:cs="Times New Roman"/>
          <w:sz w:val="24"/>
          <w:szCs w:val="24"/>
        </w:rPr>
      </w:pPr>
    </w:p>
    <w:p w:rsidR="00CF37D2" w:rsidRDefault="003B0631" w:rsidP="003B0631">
      <w:pPr>
        <w:spacing w:after="0" w:line="480" w:lineRule="auto"/>
        <w:jc w:val="both"/>
        <w:rPr>
          <w:rFonts w:ascii="Times New Roman" w:hAnsi="Times New Roman" w:cs="Times New Roman"/>
          <w:b/>
          <w:color w:val="1B1B1B"/>
          <w:sz w:val="24"/>
          <w:szCs w:val="24"/>
          <w:shd w:val="clear" w:color="auto" w:fill="FFFFFF"/>
        </w:rPr>
      </w:pPr>
      <w:r w:rsidRPr="003B0631">
        <w:rPr>
          <w:rFonts w:ascii="Times New Roman" w:hAnsi="Times New Roman" w:cs="Times New Roman"/>
          <w:b/>
          <w:color w:val="1B1B1B"/>
          <w:sz w:val="24"/>
          <w:szCs w:val="24"/>
          <w:shd w:val="clear" w:color="auto" w:fill="FFFFFF"/>
        </w:rPr>
        <w:lastRenderedPageBreak/>
        <w:t>Review of the Children o</w:t>
      </w:r>
      <w:r w:rsidR="00DE3BF0">
        <w:rPr>
          <w:rFonts w:ascii="Times New Roman" w:hAnsi="Times New Roman" w:cs="Times New Roman"/>
          <w:b/>
          <w:color w:val="1B1B1B"/>
          <w:sz w:val="24"/>
          <w:szCs w:val="24"/>
          <w:shd w:val="clear" w:color="auto" w:fill="FFFFFF"/>
        </w:rPr>
        <w:t>f Henry VII</w:t>
      </w:r>
      <w:bookmarkStart w:id="0" w:name="_GoBack"/>
      <w:bookmarkEnd w:id="0"/>
    </w:p>
    <w:p w:rsidR="003B0631" w:rsidRPr="003B0631" w:rsidRDefault="003B0631" w:rsidP="003B0631">
      <w:pPr>
        <w:spacing w:after="0" w:line="480" w:lineRule="auto"/>
        <w:jc w:val="both"/>
        <w:rPr>
          <w:rFonts w:ascii="Times New Roman" w:hAnsi="Times New Roman" w:cs="Times New Roman"/>
          <w:b/>
          <w:sz w:val="24"/>
          <w:szCs w:val="24"/>
        </w:rPr>
      </w:pPr>
      <w:r>
        <w:rPr>
          <w:rFonts w:ascii="Times New Roman" w:hAnsi="Times New Roman" w:cs="Times New Roman"/>
          <w:b/>
          <w:color w:val="1B1B1B"/>
          <w:sz w:val="24"/>
          <w:szCs w:val="24"/>
          <w:shd w:val="clear" w:color="auto" w:fill="FFFFFF"/>
        </w:rPr>
        <w:t xml:space="preserve">Introduction </w:t>
      </w:r>
    </w:p>
    <w:p w:rsidR="00DE3BF0" w:rsidRDefault="00F66E27" w:rsidP="00CF37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Today, propaganda is </w:t>
      </w:r>
      <w:r w:rsidR="00CF37D2" w:rsidRPr="00CF37D2">
        <w:rPr>
          <w:rFonts w:ascii="Times New Roman" w:hAnsi="Times New Roman" w:cs="Times New Roman"/>
          <w:sz w:val="24"/>
          <w:szCs w:val="24"/>
        </w:rPr>
        <w:t>defined as “information, especially of a biased or misleading nature, used to promote or publicize a particular political cause or point of view.” By definition, King Henry VII and parliament acted in this manner to justify a Tudor King as the ruler of England. The Act for the Confirmation of Henry VII s</w:t>
      </w:r>
      <w:r w:rsidR="00DE3BF0">
        <w:rPr>
          <w:rFonts w:ascii="Times New Roman" w:hAnsi="Times New Roman" w:cs="Times New Roman"/>
          <w:sz w:val="24"/>
          <w:szCs w:val="24"/>
        </w:rPr>
        <w:t xml:space="preserve">tabilized an unusual rise to </w:t>
      </w:r>
      <w:r w:rsidR="00CF37D2" w:rsidRPr="00CF37D2">
        <w:rPr>
          <w:rFonts w:ascii="Times New Roman" w:hAnsi="Times New Roman" w:cs="Times New Roman"/>
          <w:sz w:val="24"/>
          <w:szCs w:val="24"/>
        </w:rPr>
        <w:t>power, aided in the consolidation of power, and gave justified and rightful power to the future heirs to the Tudor dynasty. If the Tudor dynasty acted on Propaganda in any form, the propaganda was viewed within The Act of Supremacy (1534), of King Henry VIII reign</w:t>
      </w:r>
      <w:r w:rsidR="00DE3BF0">
        <w:rPr>
          <w:rFonts w:ascii="Times New Roman" w:hAnsi="Times New Roman" w:cs="Times New Roman"/>
          <w:sz w:val="24"/>
          <w:szCs w:val="24"/>
        </w:rPr>
        <w:t xml:space="preserve"> (</w:t>
      </w:r>
      <w:r w:rsidR="00DE3BF0" w:rsidRPr="003B0631">
        <w:rPr>
          <w:rFonts w:ascii="Times New Roman" w:hAnsi="Times New Roman" w:cs="Times New Roman"/>
          <w:sz w:val="24"/>
          <w:szCs w:val="24"/>
        </w:rPr>
        <w:t>Bowen,</w:t>
      </w:r>
      <w:r w:rsidR="00DE3BF0">
        <w:rPr>
          <w:rFonts w:ascii="Times New Roman" w:hAnsi="Times New Roman" w:cs="Times New Roman"/>
          <w:sz w:val="24"/>
          <w:szCs w:val="24"/>
        </w:rPr>
        <w:t xml:space="preserve"> 2008)</w:t>
      </w:r>
      <w:r w:rsidR="00CF37D2" w:rsidRPr="00CF37D2">
        <w:rPr>
          <w:rFonts w:ascii="Times New Roman" w:hAnsi="Times New Roman" w:cs="Times New Roman"/>
          <w:sz w:val="24"/>
          <w:szCs w:val="24"/>
        </w:rPr>
        <w:t>. This is stated, for the people of England were informed that the King and future Kings were justly declared the supreme heads of the Church of England, and that England was now sovereign from the papal authority of Rome.</w:t>
      </w:r>
    </w:p>
    <w:p w:rsidR="00CF37D2" w:rsidRDefault="00D374C6" w:rsidP="00CF37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It </w:t>
      </w:r>
      <w:r w:rsidR="00CF37D2" w:rsidRPr="00CF37D2">
        <w:rPr>
          <w:rFonts w:ascii="Times New Roman" w:hAnsi="Times New Roman" w:cs="Times New Roman"/>
          <w:sz w:val="24"/>
          <w:szCs w:val="24"/>
        </w:rPr>
        <w:t>is important</w:t>
      </w:r>
      <w:r>
        <w:rPr>
          <w:rFonts w:ascii="Times New Roman" w:hAnsi="Times New Roman" w:cs="Times New Roman"/>
          <w:sz w:val="24"/>
          <w:szCs w:val="24"/>
        </w:rPr>
        <w:t xml:space="preserve"> to note</w:t>
      </w:r>
      <w:r w:rsidR="00CF37D2" w:rsidRPr="00CF37D2">
        <w:rPr>
          <w:rFonts w:ascii="Times New Roman" w:hAnsi="Times New Roman" w:cs="Times New Roman"/>
          <w:sz w:val="24"/>
          <w:szCs w:val="24"/>
        </w:rPr>
        <w:t>, for the text immediately states English authority desired to “to repress and extirpate all errors, heresies, and other enormities and abuses” of papal authority</w:t>
      </w:r>
      <w:r w:rsidR="006F6381">
        <w:rPr>
          <w:rFonts w:ascii="Times New Roman" w:hAnsi="Times New Roman" w:cs="Times New Roman"/>
          <w:sz w:val="24"/>
          <w:szCs w:val="24"/>
        </w:rPr>
        <w:t>(</w:t>
      </w:r>
      <w:r w:rsidR="006F6381" w:rsidRPr="003B0631">
        <w:rPr>
          <w:rFonts w:ascii="Times New Roman" w:hAnsi="Times New Roman" w:cs="Times New Roman"/>
          <w:sz w:val="24"/>
          <w:szCs w:val="24"/>
        </w:rPr>
        <w:t>Beker,</w:t>
      </w:r>
      <w:r w:rsidR="006F6381">
        <w:rPr>
          <w:rFonts w:ascii="Times New Roman" w:hAnsi="Times New Roman" w:cs="Times New Roman"/>
          <w:sz w:val="24"/>
          <w:szCs w:val="24"/>
        </w:rPr>
        <w:t xml:space="preserve"> 2014)</w:t>
      </w:r>
      <w:r w:rsidR="00CF37D2" w:rsidRPr="00CF37D2">
        <w:rPr>
          <w:rFonts w:ascii="Times New Roman" w:hAnsi="Times New Roman" w:cs="Times New Roman"/>
          <w:sz w:val="24"/>
          <w:szCs w:val="24"/>
        </w:rPr>
        <w:t>. As this is stated it is clear the King Henry VIII and parliament attempted to convince or bring awareness to the injustices of the Catholic Church. To aid this statement, the Act of Supremacy also states “amend all such erro</w:t>
      </w:r>
      <w:r w:rsidR="00CF37D2">
        <w:rPr>
          <w:rFonts w:ascii="Times New Roman" w:hAnsi="Times New Roman" w:cs="Times New Roman"/>
          <w:sz w:val="24"/>
          <w:szCs w:val="24"/>
        </w:rPr>
        <w:t xml:space="preserve">rs, heresies, abuses, offense may lawfully be reformed </w:t>
      </w:r>
      <w:r w:rsidR="00CF37D2" w:rsidRPr="00CF37D2">
        <w:rPr>
          <w:rFonts w:ascii="Times New Roman" w:hAnsi="Times New Roman" w:cs="Times New Roman"/>
          <w:sz w:val="24"/>
          <w:szCs w:val="24"/>
        </w:rPr>
        <w:t>in Christ's religion, and for the conservation of the peace, unity. With a statement as such, how could anyone disfavor the positive actions of King Henry VIII? King Henry VIII was appealing to the masses, and using propaganda to reiterate the Catholic Church was corrupt, and abused their power, wealth, and privileges in the English domain. Having said this informat</w:t>
      </w:r>
      <w:r w:rsidR="00CF37D2">
        <w:rPr>
          <w:rFonts w:ascii="Times New Roman" w:hAnsi="Times New Roman" w:cs="Times New Roman"/>
          <w:sz w:val="24"/>
          <w:szCs w:val="24"/>
        </w:rPr>
        <w:t xml:space="preserve">ion, there </w:t>
      </w:r>
      <w:r w:rsidR="00CF37D2" w:rsidRPr="00CF37D2">
        <w:rPr>
          <w:rFonts w:ascii="Times New Roman" w:hAnsi="Times New Roman" w:cs="Times New Roman"/>
          <w:sz w:val="24"/>
          <w:szCs w:val="24"/>
        </w:rPr>
        <w:t xml:space="preserve">is a catch. </w:t>
      </w:r>
    </w:p>
    <w:p w:rsidR="00DE3BF0" w:rsidRDefault="00CF37D2" w:rsidP="00CF37D2">
      <w:pPr>
        <w:spacing w:after="0" w:line="480" w:lineRule="auto"/>
        <w:ind w:firstLine="720"/>
        <w:jc w:val="both"/>
        <w:rPr>
          <w:rFonts w:ascii="Times New Roman" w:hAnsi="Times New Roman" w:cs="Times New Roman"/>
          <w:sz w:val="24"/>
          <w:szCs w:val="24"/>
        </w:rPr>
      </w:pPr>
      <w:r w:rsidRPr="00CF37D2">
        <w:rPr>
          <w:rFonts w:ascii="Times New Roman" w:hAnsi="Times New Roman" w:cs="Times New Roman"/>
          <w:sz w:val="24"/>
          <w:szCs w:val="24"/>
        </w:rPr>
        <w:lastRenderedPageBreak/>
        <w:t>King Henry VIII desired a revolution from papal authority, not solely on papal injustices, but more importantly the recognition of his new marriage to Anne Boleyn. The marriage had hopes of bringing a male heir for a Tudor dynasty, and annulled his marriage to Catherine of Aragon. What is apparent through the text, is the fact that in King Henry VIII is a heck of a sales man</w:t>
      </w:r>
      <w:r w:rsidR="006F6381">
        <w:rPr>
          <w:rFonts w:ascii="Times New Roman" w:hAnsi="Times New Roman" w:cs="Times New Roman"/>
          <w:sz w:val="24"/>
          <w:szCs w:val="24"/>
        </w:rPr>
        <w:t>(</w:t>
      </w:r>
      <w:r w:rsidR="006F6381" w:rsidRPr="003B0631">
        <w:rPr>
          <w:rFonts w:ascii="Times New Roman" w:hAnsi="Times New Roman" w:cs="Times New Roman"/>
          <w:sz w:val="24"/>
          <w:szCs w:val="24"/>
        </w:rPr>
        <w:t>Beker,</w:t>
      </w:r>
      <w:r w:rsidR="006F6381">
        <w:rPr>
          <w:rFonts w:ascii="Times New Roman" w:hAnsi="Times New Roman" w:cs="Times New Roman"/>
          <w:sz w:val="24"/>
          <w:szCs w:val="24"/>
        </w:rPr>
        <w:t xml:space="preserve"> 2014)</w:t>
      </w:r>
      <w:r w:rsidRPr="00CF37D2">
        <w:rPr>
          <w:rFonts w:ascii="Times New Roman" w:hAnsi="Times New Roman" w:cs="Times New Roman"/>
          <w:sz w:val="24"/>
          <w:szCs w:val="24"/>
        </w:rPr>
        <w:t>. This is stated, for a sales pitch regarding the termination of papal authority, and the implementation of a “supreme head of the Church of England”, allowed King Henry VIII to accomplish a religious revolution</w:t>
      </w:r>
      <w:r w:rsidR="006F6381">
        <w:rPr>
          <w:rFonts w:ascii="Times New Roman" w:hAnsi="Times New Roman" w:cs="Times New Roman"/>
          <w:sz w:val="24"/>
          <w:szCs w:val="24"/>
        </w:rPr>
        <w:t>(</w:t>
      </w:r>
      <w:r w:rsidR="006F6381" w:rsidRPr="003B0631">
        <w:rPr>
          <w:rFonts w:ascii="Times New Roman" w:hAnsi="Times New Roman" w:cs="Times New Roman"/>
          <w:sz w:val="24"/>
          <w:szCs w:val="24"/>
        </w:rPr>
        <w:t>Beker,</w:t>
      </w:r>
      <w:r w:rsidR="006F6381">
        <w:rPr>
          <w:rFonts w:ascii="Times New Roman" w:hAnsi="Times New Roman" w:cs="Times New Roman"/>
          <w:sz w:val="24"/>
          <w:szCs w:val="24"/>
        </w:rPr>
        <w:t xml:space="preserve"> 2014)</w:t>
      </w:r>
      <w:r w:rsidRPr="00CF37D2">
        <w:rPr>
          <w:rFonts w:ascii="Times New Roman" w:hAnsi="Times New Roman" w:cs="Times New Roman"/>
          <w:sz w:val="24"/>
          <w:szCs w:val="24"/>
        </w:rPr>
        <w:t xml:space="preserve">. This religious revolution, would come to exemplify the influence the Tudors had on England. </w:t>
      </w:r>
    </w:p>
    <w:p w:rsidR="006F6381" w:rsidRDefault="00CF37D2" w:rsidP="00CF37D2">
      <w:pPr>
        <w:spacing w:after="0" w:line="480" w:lineRule="auto"/>
        <w:ind w:firstLine="720"/>
        <w:jc w:val="both"/>
        <w:rPr>
          <w:rFonts w:ascii="Times New Roman" w:hAnsi="Times New Roman" w:cs="Times New Roman"/>
          <w:sz w:val="24"/>
          <w:szCs w:val="24"/>
        </w:rPr>
      </w:pPr>
      <w:r w:rsidRPr="00CF37D2">
        <w:rPr>
          <w:rFonts w:ascii="Times New Roman" w:hAnsi="Times New Roman" w:cs="Times New Roman"/>
          <w:sz w:val="24"/>
          <w:szCs w:val="24"/>
        </w:rPr>
        <w:t>Although controversial and not wholly favored, King Henry VIII succeeded in gaining Parliament and England’s support, and took advantage of the weakness of the Church. Like his father, King Henry VII, King Henry VIII was an opportunist! With additional historical information from A History of England, Volume 1, the information allows the reader to better understand underlying meanings of the Proclamation of Edward VI in 1547. Underlying meanings may be questioned, but can be justified as well. To understand the meanings, the reader must acquaint themselves with the proclamation. The Proclamation established Edward VI as the heir to Henry VIII</w:t>
      </w:r>
      <w:r w:rsidR="00DE3BF0">
        <w:rPr>
          <w:rFonts w:ascii="Times New Roman" w:hAnsi="Times New Roman" w:cs="Times New Roman"/>
          <w:sz w:val="24"/>
          <w:szCs w:val="24"/>
        </w:rPr>
        <w:t xml:space="preserve"> (</w:t>
      </w:r>
      <w:r w:rsidR="00DE3BF0" w:rsidRPr="003B0631">
        <w:rPr>
          <w:rFonts w:ascii="Times New Roman" w:hAnsi="Times New Roman" w:cs="Times New Roman"/>
          <w:sz w:val="24"/>
          <w:szCs w:val="24"/>
        </w:rPr>
        <w:t>Bowen,</w:t>
      </w:r>
      <w:r w:rsidR="00DE3BF0">
        <w:rPr>
          <w:rFonts w:ascii="Times New Roman" w:hAnsi="Times New Roman" w:cs="Times New Roman"/>
          <w:sz w:val="24"/>
          <w:szCs w:val="24"/>
        </w:rPr>
        <w:t xml:space="preserve"> 2008)</w:t>
      </w:r>
      <w:r w:rsidRPr="00CF37D2">
        <w:rPr>
          <w:rFonts w:ascii="Times New Roman" w:hAnsi="Times New Roman" w:cs="Times New Roman"/>
          <w:sz w:val="24"/>
          <w:szCs w:val="24"/>
        </w:rPr>
        <w:t xml:space="preserve">. Succession is confirmed as the text, states, “being his only son (Edward VI) and undoubted heir, be now invested and established in the crown imperial of this realm,…with all regalities, pre-eminences, styles, names, titles, and dignities to the same belonging or in any wise appertaining.” These statements are of great importance for numerous reasons, but the most important is the fact that a Tudor dynasty was furthered and the Tudors exemplified longevity. </w:t>
      </w:r>
    </w:p>
    <w:p w:rsidR="00CF37D2" w:rsidRDefault="00CF37D2" w:rsidP="00CF37D2">
      <w:pPr>
        <w:spacing w:after="0" w:line="480" w:lineRule="auto"/>
        <w:ind w:firstLine="720"/>
        <w:jc w:val="both"/>
        <w:rPr>
          <w:rFonts w:ascii="Times New Roman" w:hAnsi="Times New Roman" w:cs="Times New Roman"/>
          <w:sz w:val="24"/>
          <w:szCs w:val="24"/>
        </w:rPr>
      </w:pPr>
      <w:r w:rsidRPr="00CF37D2">
        <w:rPr>
          <w:rFonts w:ascii="Times New Roman" w:hAnsi="Times New Roman" w:cs="Times New Roman"/>
          <w:sz w:val="24"/>
          <w:szCs w:val="24"/>
        </w:rPr>
        <w:t xml:space="preserve">God …see our (ENGLAND) peace kept and to be obedient to our laws”. With additional information form A History of England, Volume 1, the reader may view this statement as </w:t>
      </w:r>
      <w:r w:rsidRPr="00CF37D2">
        <w:rPr>
          <w:rFonts w:ascii="Times New Roman" w:hAnsi="Times New Roman" w:cs="Times New Roman"/>
          <w:sz w:val="24"/>
          <w:szCs w:val="24"/>
        </w:rPr>
        <w:lastRenderedPageBreak/>
        <w:t>method to secure obedience for Protestantism, and halt a return of Catholicism. This may be challenged, but the reality was the return of Catholicism was of some concern after the death of King Henry VIII. The Proclamation was a method to continue the sovereignty of the Church of England. Another interesting statement is “will answer for the contrary at their extreme peril.” With this statement, the reader can bluntly understand that if one was not obedient to Edward VI reign, one would face punishment</w:t>
      </w:r>
      <w:r w:rsidR="006F6381">
        <w:rPr>
          <w:rFonts w:ascii="Times New Roman" w:hAnsi="Times New Roman" w:cs="Times New Roman"/>
          <w:sz w:val="24"/>
          <w:szCs w:val="24"/>
        </w:rPr>
        <w:t xml:space="preserve"> (</w:t>
      </w:r>
      <w:r w:rsidR="006F6381" w:rsidRPr="003B0631">
        <w:rPr>
          <w:rFonts w:ascii="Times New Roman" w:hAnsi="Times New Roman" w:cs="Times New Roman"/>
          <w:sz w:val="24"/>
          <w:szCs w:val="24"/>
        </w:rPr>
        <w:t>Beker,</w:t>
      </w:r>
      <w:r w:rsidR="006F6381">
        <w:rPr>
          <w:rFonts w:ascii="Times New Roman" w:hAnsi="Times New Roman" w:cs="Times New Roman"/>
          <w:sz w:val="24"/>
          <w:szCs w:val="24"/>
        </w:rPr>
        <w:t xml:space="preserve"> 2014)</w:t>
      </w:r>
      <w:r w:rsidRPr="00CF37D2">
        <w:rPr>
          <w:rFonts w:ascii="Times New Roman" w:hAnsi="Times New Roman" w:cs="Times New Roman"/>
          <w:sz w:val="24"/>
          <w:szCs w:val="24"/>
        </w:rPr>
        <w:t xml:space="preserve">. </w:t>
      </w:r>
    </w:p>
    <w:p w:rsidR="00CF37D2" w:rsidRDefault="00CF37D2" w:rsidP="00CF37D2">
      <w:pPr>
        <w:spacing w:after="0" w:line="480" w:lineRule="auto"/>
        <w:ind w:firstLine="720"/>
        <w:jc w:val="both"/>
        <w:rPr>
          <w:rFonts w:ascii="Times New Roman" w:hAnsi="Times New Roman" w:cs="Times New Roman"/>
          <w:sz w:val="24"/>
          <w:szCs w:val="24"/>
        </w:rPr>
      </w:pPr>
      <w:r w:rsidRPr="00CF37D2">
        <w:rPr>
          <w:rFonts w:ascii="Times New Roman" w:hAnsi="Times New Roman" w:cs="Times New Roman"/>
          <w:sz w:val="24"/>
          <w:szCs w:val="24"/>
        </w:rPr>
        <w:t>This statement could be viewed as a statement towards commoners, but it is interesting to view this statement as a threat to the nobles of the English Kingdom. It is not unreasonable to view this as such, for within Edward VI reign, evidence displays nobles attempted to strengthen their positions in the kingdom in this era. The Proclamation of Edward VI of 1547, could halt these actions. The Proclamation is not a propaganda method in the manner of the Act for the Confirmation of Henry VII (1485) or The Act of Supremacy (1534), but gives the reader solidified knowledge that Tudor family defended their authority and actions. With The Proclamation of Edward VI, the Tudor monarchs reiterated the power of their long ruling dynasty. Five Tudor monarchs came to rule England’s domain, and are historically known for being one of the most celebrated dynasties in English history</w:t>
      </w:r>
      <w:r w:rsidR="006F6381">
        <w:rPr>
          <w:rFonts w:ascii="Times New Roman" w:hAnsi="Times New Roman" w:cs="Times New Roman"/>
          <w:sz w:val="24"/>
          <w:szCs w:val="24"/>
        </w:rPr>
        <w:t xml:space="preserve"> (</w:t>
      </w:r>
      <w:r w:rsidR="006F6381" w:rsidRPr="003B0631">
        <w:rPr>
          <w:rFonts w:ascii="Times New Roman" w:hAnsi="Times New Roman" w:cs="Times New Roman"/>
          <w:sz w:val="24"/>
          <w:szCs w:val="24"/>
        </w:rPr>
        <w:t>Cicardi,</w:t>
      </w:r>
      <w:r w:rsidR="006F6381">
        <w:rPr>
          <w:rFonts w:ascii="Times New Roman" w:hAnsi="Times New Roman" w:cs="Times New Roman"/>
          <w:sz w:val="24"/>
          <w:szCs w:val="24"/>
        </w:rPr>
        <w:t xml:space="preserve"> 2008)</w:t>
      </w:r>
      <w:r w:rsidRPr="00CF37D2">
        <w:rPr>
          <w:rFonts w:ascii="Times New Roman" w:hAnsi="Times New Roman" w:cs="Times New Roman"/>
          <w:sz w:val="24"/>
          <w:szCs w:val="24"/>
        </w:rPr>
        <w:t xml:space="preserve">. Like all prominent dynasties, the Tudor’s thrived, for the Tudor’s established a line of legitimacy that enabled a permissible claim to the English throne. Tudor claim to the throne was initially weak, but with textual evidence from Act for the Confirmation of Henry VII (1485), The Act of Supremacy (1534), The Proclamation of Edward VI (1547), readers can improve their understanding how the Tudor monarchs obtained influential authority on the English throne. </w:t>
      </w:r>
    </w:p>
    <w:p w:rsidR="003B0631" w:rsidRDefault="003B0631" w:rsidP="003B0631">
      <w:pPr>
        <w:spacing w:after="0" w:line="480" w:lineRule="auto"/>
        <w:ind w:firstLine="720"/>
        <w:jc w:val="center"/>
        <w:rPr>
          <w:rFonts w:ascii="Times New Roman" w:hAnsi="Times New Roman" w:cs="Times New Roman"/>
          <w:sz w:val="24"/>
          <w:szCs w:val="24"/>
        </w:rPr>
      </w:pPr>
    </w:p>
    <w:p w:rsidR="006F6381" w:rsidRDefault="006F6381" w:rsidP="00DE3BF0">
      <w:pPr>
        <w:spacing w:after="0" w:line="480" w:lineRule="auto"/>
        <w:rPr>
          <w:rFonts w:ascii="Times New Roman" w:hAnsi="Times New Roman" w:cs="Times New Roman"/>
          <w:sz w:val="24"/>
          <w:szCs w:val="24"/>
        </w:rPr>
      </w:pPr>
    </w:p>
    <w:p w:rsidR="003B0631" w:rsidRDefault="003B0631" w:rsidP="003B063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B0631" w:rsidRDefault="003B0631" w:rsidP="003B0631">
      <w:pPr>
        <w:spacing w:after="0" w:line="480" w:lineRule="auto"/>
        <w:ind w:left="720" w:hanging="720"/>
        <w:rPr>
          <w:rFonts w:ascii="Times New Roman" w:hAnsi="Times New Roman" w:cs="Times New Roman"/>
          <w:sz w:val="24"/>
          <w:szCs w:val="24"/>
        </w:rPr>
      </w:pPr>
      <w:r w:rsidRPr="003B0631">
        <w:rPr>
          <w:rFonts w:ascii="Times New Roman" w:hAnsi="Times New Roman" w:cs="Times New Roman"/>
          <w:sz w:val="24"/>
          <w:szCs w:val="24"/>
        </w:rPr>
        <w:t>Bowen, T., Cicardi, M., Bork, K., Zuraw, B., Frank, M., Ritchie, B., ... &amp; Wagner, E. (2008). Hereditary angiodema: a current state-of-the-art review, VII: Canadian Hungarian 2007 International Consensus Algorithm for the Diagnosis, Therapy, and Management of Hereditary Angioedema. Annals of Allergy, Asthma &amp; Immunology, 100(1), S30-S40.</w:t>
      </w:r>
    </w:p>
    <w:p w:rsidR="003B0631" w:rsidRDefault="003B0631" w:rsidP="003B0631">
      <w:pPr>
        <w:spacing w:after="0" w:line="480" w:lineRule="auto"/>
        <w:ind w:left="720" w:hanging="720"/>
        <w:rPr>
          <w:rFonts w:ascii="Times New Roman" w:hAnsi="Times New Roman" w:cs="Times New Roman"/>
          <w:sz w:val="24"/>
          <w:szCs w:val="24"/>
        </w:rPr>
      </w:pPr>
      <w:r w:rsidRPr="003B0631">
        <w:rPr>
          <w:rFonts w:ascii="Times New Roman" w:hAnsi="Times New Roman" w:cs="Times New Roman"/>
          <w:sz w:val="24"/>
          <w:szCs w:val="24"/>
        </w:rPr>
        <w:t>Beker, J., &amp; Maier, H. W. (2014). </w:t>
      </w:r>
      <w:r w:rsidRPr="003B0631">
        <w:rPr>
          <w:rFonts w:ascii="Times New Roman" w:hAnsi="Times New Roman" w:cs="Times New Roman"/>
          <w:i/>
          <w:iCs/>
          <w:sz w:val="24"/>
          <w:szCs w:val="24"/>
        </w:rPr>
        <w:t>Developmental group care of children and youth: Concepts and practice</w:t>
      </w:r>
      <w:r w:rsidRPr="003B0631">
        <w:rPr>
          <w:rFonts w:ascii="Times New Roman" w:hAnsi="Times New Roman" w:cs="Times New Roman"/>
          <w:sz w:val="24"/>
          <w:szCs w:val="24"/>
        </w:rPr>
        <w:t>. Routledge.</w:t>
      </w:r>
    </w:p>
    <w:p w:rsidR="003B0631" w:rsidRDefault="003B0631" w:rsidP="003B0631">
      <w:pPr>
        <w:spacing w:after="0" w:line="480" w:lineRule="auto"/>
        <w:ind w:left="720" w:hanging="720"/>
        <w:rPr>
          <w:rFonts w:ascii="Times New Roman" w:hAnsi="Times New Roman" w:cs="Times New Roman"/>
          <w:sz w:val="24"/>
          <w:szCs w:val="24"/>
        </w:rPr>
      </w:pPr>
      <w:r w:rsidRPr="003B0631">
        <w:rPr>
          <w:rFonts w:ascii="Times New Roman" w:hAnsi="Times New Roman" w:cs="Times New Roman"/>
          <w:sz w:val="24"/>
          <w:szCs w:val="24"/>
        </w:rPr>
        <w:t>Carlson, D. R. (1991). Royal tutors in the reign of Henry VII. The Sixteenth Century Journal, 253-279.</w:t>
      </w:r>
    </w:p>
    <w:p w:rsidR="003B0631" w:rsidRDefault="003B0631" w:rsidP="003B0631">
      <w:pPr>
        <w:spacing w:after="0" w:line="480" w:lineRule="auto"/>
        <w:ind w:left="720" w:hanging="720"/>
        <w:rPr>
          <w:rFonts w:ascii="Times New Roman" w:hAnsi="Times New Roman" w:cs="Times New Roman"/>
          <w:sz w:val="24"/>
          <w:szCs w:val="24"/>
        </w:rPr>
      </w:pPr>
      <w:r w:rsidRPr="003B0631">
        <w:rPr>
          <w:rFonts w:ascii="Times New Roman" w:hAnsi="Times New Roman" w:cs="Times New Roman"/>
          <w:sz w:val="24"/>
          <w:szCs w:val="24"/>
        </w:rPr>
        <w:t>Pendergrass, H. P., Tondreau, R. L., Pendergrass, E. P., Ritchie, D. J., Hildreth, E. A., &amp; Askovitz, S. I. (1958). Reactions associated with intravenous urography: historical and statistical review. Radiology, 71(1), 1-12.</w:t>
      </w:r>
    </w:p>
    <w:p w:rsidR="003B0631" w:rsidRPr="00CF37D2" w:rsidRDefault="003B0631" w:rsidP="003B0631">
      <w:pPr>
        <w:spacing w:after="0" w:line="480" w:lineRule="auto"/>
        <w:ind w:left="720" w:hanging="720"/>
        <w:rPr>
          <w:rFonts w:ascii="Times New Roman" w:hAnsi="Times New Roman" w:cs="Times New Roman"/>
          <w:sz w:val="24"/>
          <w:szCs w:val="24"/>
        </w:rPr>
      </w:pPr>
      <w:r w:rsidRPr="003B0631">
        <w:rPr>
          <w:rFonts w:ascii="Times New Roman" w:hAnsi="Times New Roman" w:cs="Times New Roman"/>
          <w:sz w:val="24"/>
          <w:szCs w:val="24"/>
        </w:rPr>
        <w:t>Tremlett, G. (2010). Catherine of Aragon: The Spanish Queen of Henry VIII. New York: Walker &amp; Company.</w:t>
      </w:r>
    </w:p>
    <w:sectPr w:rsidR="003B0631" w:rsidRPr="00CF37D2" w:rsidSect="00EF32E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7460" w:rsidRDefault="00627460" w:rsidP="00CF37D2">
      <w:pPr>
        <w:spacing w:after="0" w:line="240" w:lineRule="auto"/>
      </w:pPr>
      <w:r>
        <w:separator/>
      </w:r>
    </w:p>
  </w:endnote>
  <w:endnote w:type="continuationSeparator" w:id="1">
    <w:p w:rsidR="00627460" w:rsidRDefault="00627460" w:rsidP="00CF37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7460" w:rsidRDefault="00627460" w:rsidP="00CF37D2">
      <w:pPr>
        <w:spacing w:after="0" w:line="240" w:lineRule="auto"/>
      </w:pPr>
      <w:r>
        <w:separator/>
      </w:r>
    </w:p>
  </w:footnote>
  <w:footnote w:type="continuationSeparator" w:id="1">
    <w:p w:rsidR="00627460" w:rsidRDefault="00627460" w:rsidP="00CF37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7D2" w:rsidRPr="00CF37D2" w:rsidRDefault="00CF37D2" w:rsidP="00CF37D2">
    <w:pPr>
      <w:pStyle w:val="Header"/>
      <w:rPr>
        <w:rFonts w:ascii="Times New Roman" w:hAnsi="Times New Roman" w:cs="Times New Roman"/>
        <w:sz w:val="24"/>
        <w:szCs w:val="24"/>
      </w:rPr>
    </w:pPr>
    <w:r w:rsidRPr="00CF37D2">
      <w:rPr>
        <w:rFonts w:ascii="Times New Roman" w:hAnsi="Times New Roman" w:cs="Times New Roman"/>
        <w:color w:val="1B1B1B"/>
        <w:sz w:val="24"/>
        <w:szCs w:val="24"/>
        <w:shd w:val="clear" w:color="auto" w:fill="FFFFFF"/>
      </w:rPr>
      <w:t>REVIEW OF THE CHILDREN OF HENRY VII</w:t>
    </w:r>
    <w:sdt>
      <w:sdtPr>
        <w:rPr>
          <w:rFonts w:ascii="Times New Roman" w:hAnsi="Times New Roman" w:cs="Times New Roman"/>
          <w:sz w:val="24"/>
          <w:szCs w:val="24"/>
        </w:rPr>
        <w:id w:val="-1436055192"/>
        <w:docPartObj>
          <w:docPartGallery w:val="Page Numbers (Top of Page)"/>
          <w:docPartUnique/>
        </w:docPartObj>
      </w:sdtPr>
      <w:sdtEndPr>
        <w:rPr>
          <w:noProof/>
        </w:rPr>
      </w:sdtEndPr>
      <w:sdtContent>
        <w:r w:rsidR="00EF32E4" w:rsidRPr="00CF37D2">
          <w:rPr>
            <w:rFonts w:ascii="Times New Roman" w:hAnsi="Times New Roman" w:cs="Times New Roman"/>
            <w:sz w:val="24"/>
            <w:szCs w:val="24"/>
          </w:rPr>
          <w:fldChar w:fldCharType="begin"/>
        </w:r>
        <w:r w:rsidRPr="00CF37D2">
          <w:rPr>
            <w:rFonts w:ascii="Times New Roman" w:hAnsi="Times New Roman" w:cs="Times New Roman"/>
            <w:sz w:val="24"/>
            <w:szCs w:val="24"/>
          </w:rPr>
          <w:instrText xml:space="preserve"> PAGE   \* MERGEFORMAT </w:instrText>
        </w:r>
        <w:r w:rsidR="00EF32E4" w:rsidRPr="00CF37D2">
          <w:rPr>
            <w:rFonts w:ascii="Times New Roman" w:hAnsi="Times New Roman" w:cs="Times New Roman"/>
            <w:sz w:val="24"/>
            <w:szCs w:val="24"/>
          </w:rPr>
          <w:fldChar w:fldCharType="separate"/>
        </w:r>
        <w:r w:rsidR="00F66E27">
          <w:rPr>
            <w:rFonts w:ascii="Times New Roman" w:hAnsi="Times New Roman" w:cs="Times New Roman"/>
            <w:noProof/>
            <w:sz w:val="24"/>
            <w:szCs w:val="24"/>
          </w:rPr>
          <w:t>2</w:t>
        </w:r>
        <w:r w:rsidR="00EF32E4" w:rsidRPr="00CF37D2">
          <w:rPr>
            <w:rFonts w:ascii="Times New Roman" w:hAnsi="Times New Roman" w:cs="Times New Roman"/>
            <w:noProof/>
            <w:sz w:val="24"/>
            <w:szCs w:val="24"/>
          </w:rPr>
          <w:fldChar w:fldCharType="end"/>
        </w:r>
      </w:sdtContent>
    </w:sdt>
  </w:p>
  <w:p w:rsidR="00CF37D2" w:rsidRPr="00CF37D2" w:rsidRDefault="00CF37D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F37D2"/>
    <w:rsid w:val="00390389"/>
    <w:rsid w:val="003B0631"/>
    <w:rsid w:val="00516ECD"/>
    <w:rsid w:val="00627460"/>
    <w:rsid w:val="006F6381"/>
    <w:rsid w:val="0080539E"/>
    <w:rsid w:val="00C744F2"/>
    <w:rsid w:val="00CF37D2"/>
    <w:rsid w:val="00D374C6"/>
    <w:rsid w:val="00DE3BF0"/>
    <w:rsid w:val="00EF32E4"/>
    <w:rsid w:val="00F66E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2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7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7D2"/>
  </w:style>
  <w:style w:type="paragraph" w:styleId="Footer">
    <w:name w:val="footer"/>
    <w:basedOn w:val="Normal"/>
    <w:link w:val="FooterChar"/>
    <w:uiPriority w:val="99"/>
    <w:unhideWhenUsed/>
    <w:rsid w:val="00CF37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7D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995</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BJ</cp:lastModifiedBy>
  <cp:revision>4</cp:revision>
  <dcterms:created xsi:type="dcterms:W3CDTF">2019-05-11T22:33:00Z</dcterms:created>
  <dcterms:modified xsi:type="dcterms:W3CDTF">2019-05-12T03:28:00Z</dcterms:modified>
</cp:coreProperties>
</file>